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C" w:rsidRPr="00F21120" w:rsidRDefault="0094511C" w:rsidP="006330B8">
      <w:pPr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F21120">
        <w:rPr>
          <w:rFonts w:ascii="Arial" w:hAnsi="Arial" w:cs="Arial"/>
          <w:b/>
          <w:sz w:val="56"/>
          <w:szCs w:val="56"/>
        </w:rPr>
        <w:t>Übergabejournal</w:t>
      </w:r>
      <w:r w:rsidR="00F21120" w:rsidRPr="00F21120">
        <w:rPr>
          <w:rFonts w:ascii="Arial" w:hAnsi="Arial" w:cs="Arial"/>
          <w:b/>
          <w:sz w:val="56"/>
          <w:szCs w:val="56"/>
        </w:rPr>
        <w:t xml:space="preserve"> Primars</w:t>
      </w:r>
      <w:r w:rsidR="00694057">
        <w:rPr>
          <w:rFonts w:ascii="Arial" w:hAnsi="Arial" w:cs="Arial"/>
          <w:b/>
          <w:sz w:val="56"/>
          <w:szCs w:val="56"/>
        </w:rPr>
        <w:t>chule</w:t>
      </w:r>
    </w:p>
    <w:p w:rsidR="00AC4F31" w:rsidRDefault="00F21120" w:rsidP="006330B8">
      <w:pPr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2DEE4" wp14:editId="5F6DB1EF">
            <wp:simplePos x="0" y="0"/>
            <wp:positionH relativeFrom="column">
              <wp:posOffset>4491355</wp:posOffset>
            </wp:positionH>
            <wp:positionV relativeFrom="paragraph">
              <wp:posOffset>5715</wp:posOffset>
            </wp:positionV>
            <wp:extent cx="1733550" cy="866775"/>
            <wp:effectExtent l="0" t="0" r="0" b="9525"/>
            <wp:wrapSquare wrapText="bothSides"/>
            <wp:docPr id="1" name="Grafik 1" descr="Bildergebnis für Logo Lehrplan 21 Basel-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Lehrplan 21 Basel-Sta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F31">
        <w:rPr>
          <w:rFonts w:ascii="Arial" w:hAnsi="Arial" w:cs="Arial"/>
          <w:sz w:val="48"/>
          <w:szCs w:val="48"/>
        </w:rPr>
        <w:t>N</w:t>
      </w:r>
      <w:r w:rsidR="0094511C">
        <w:rPr>
          <w:rFonts w:ascii="Arial" w:hAnsi="Arial" w:cs="Arial"/>
          <w:sz w:val="48"/>
          <w:szCs w:val="48"/>
        </w:rPr>
        <w:t>atur, Mensch, Gesellschaft</w:t>
      </w:r>
      <w:r w:rsidR="00AC4F31">
        <w:rPr>
          <w:rFonts w:ascii="Arial" w:hAnsi="Arial" w:cs="Arial"/>
          <w:sz w:val="48"/>
          <w:szCs w:val="48"/>
        </w:rPr>
        <w:t xml:space="preserve"> </w:t>
      </w:r>
    </w:p>
    <w:p w:rsidR="008A569E" w:rsidRPr="00AC4F31" w:rsidRDefault="00AC4F31" w:rsidP="006330B8">
      <w:pPr>
        <w:rPr>
          <w:rFonts w:ascii="Arial" w:hAnsi="Arial" w:cs="Arial"/>
          <w:sz w:val="36"/>
          <w:szCs w:val="36"/>
        </w:rPr>
      </w:pPr>
      <w:r w:rsidRPr="00AC4F31">
        <w:rPr>
          <w:rFonts w:ascii="Arial" w:hAnsi="Arial" w:cs="Arial"/>
          <w:sz w:val="36"/>
          <w:szCs w:val="36"/>
        </w:rPr>
        <w:t>Themen</w:t>
      </w:r>
      <w:r w:rsidR="007A2214" w:rsidRPr="00AC4F31">
        <w:rPr>
          <w:rFonts w:ascii="Arial" w:hAnsi="Arial" w:cs="Arial"/>
          <w:sz w:val="36"/>
          <w:szCs w:val="36"/>
        </w:rPr>
        <w:t xml:space="preserve"> </w:t>
      </w:r>
      <w:r w:rsidR="00AA141A">
        <w:rPr>
          <w:rFonts w:ascii="Arial" w:hAnsi="Arial" w:cs="Arial"/>
          <w:sz w:val="36"/>
          <w:szCs w:val="36"/>
        </w:rPr>
        <w:t>und Kompetenzen</w:t>
      </w:r>
    </w:p>
    <w:p w:rsidR="007A2214" w:rsidRDefault="007A2214" w:rsidP="006330B8">
      <w:pPr>
        <w:rPr>
          <w:rFonts w:ascii="Arial" w:hAnsi="Arial" w:cs="Arial"/>
        </w:rPr>
      </w:pPr>
    </w:p>
    <w:p w:rsidR="007A2214" w:rsidRDefault="007A2214" w:rsidP="006330B8">
      <w:pPr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2214" w:rsidTr="00AC4F31">
        <w:tc>
          <w:tcPr>
            <w:tcW w:w="9606" w:type="dxa"/>
          </w:tcPr>
          <w:p w:rsidR="007A2214" w:rsidRDefault="007A2214" w:rsidP="00633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Lehrperson</w:t>
            </w:r>
          </w:p>
        </w:tc>
      </w:tr>
    </w:tbl>
    <w:p w:rsidR="007A2214" w:rsidRPr="007A2214" w:rsidRDefault="007A2214" w:rsidP="006330B8">
      <w:pPr>
        <w:rPr>
          <w:rFonts w:ascii="Arial" w:hAnsi="Arial" w:cs="Arial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384"/>
        <w:gridCol w:w="4536"/>
        <w:gridCol w:w="2126"/>
        <w:gridCol w:w="1560"/>
      </w:tblGrid>
      <w:tr w:rsidR="007A2214" w:rsidRPr="007A2214" w:rsidTr="0094511C">
        <w:tc>
          <w:tcPr>
            <w:tcW w:w="1384" w:type="dxa"/>
          </w:tcPr>
          <w:p w:rsidR="007A2214" w:rsidRPr="007A2214" w:rsidRDefault="007A2214" w:rsidP="006330B8">
            <w:pPr>
              <w:rPr>
                <w:rFonts w:ascii="Arial" w:hAnsi="Arial" w:cs="Arial"/>
                <w:b/>
              </w:rPr>
            </w:pPr>
            <w:r w:rsidRPr="007A2214">
              <w:rPr>
                <w:rFonts w:ascii="Arial" w:hAnsi="Arial" w:cs="Arial"/>
                <w:b/>
              </w:rPr>
              <w:t>Schuljahr Klasse</w:t>
            </w:r>
          </w:p>
        </w:tc>
        <w:tc>
          <w:tcPr>
            <w:tcW w:w="4536" w:type="dxa"/>
          </w:tcPr>
          <w:p w:rsidR="007A2214" w:rsidRPr="007A2214" w:rsidRDefault="007A2214" w:rsidP="006330B8">
            <w:pPr>
              <w:rPr>
                <w:rFonts w:ascii="Arial" w:hAnsi="Arial" w:cs="Arial"/>
                <w:b/>
              </w:rPr>
            </w:pPr>
            <w:r w:rsidRPr="007A2214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2126" w:type="dxa"/>
          </w:tcPr>
          <w:p w:rsidR="007A2214" w:rsidRPr="007A2214" w:rsidRDefault="007A2214" w:rsidP="006330B8">
            <w:pPr>
              <w:rPr>
                <w:rFonts w:ascii="Arial" w:hAnsi="Arial" w:cs="Arial"/>
                <w:b/>
              </w:rPr>
            </w:pPr>
            <w:r w:rsidRPr="007A2214">
              <w:rPr>
                <w:rFonts w:ascii="Arial" w:hAnsi="Arial" w:cs="Arial"/>
                <w:b/>
              </w:rPr>
              <w:t>NMG-Kompetenzen</w:t>
            </w:r>
          </w:p>
        </w:tc>
        <w:tc>
          <w:tcPr>
            <w:tcW w:w="1560" w:type="dxa"/>
          </w:tcPr>
          <w:p w:rsidR="007A2214" w:rsidRPr="007A2214" w:rsidRDefault="007A2214" w:rsidP="006330B8">
            <w:pPr>
              <w:rPr>
                <w:rFonts w:ascii="Arial" w:hAnsi="Arial" w:cs="Arial"/>
                <w:b/>
              </w:rPr>
            </w:pPr>
            <w:r w:rsidRPr="007A2214">
              <w:rPr>
                <w:rFonts w:ascii="Arial" w:hAnsi="Arial" w:cs="Arial"/>
                <w:b/>
              </w:rPr>
              <w:t xml:space="preserve">Dauer </w:t>
            </w:r>
          </w:p>
          <w:p w:rsidR="007A2214" w:rsidRPr="007A2214" w:rsidRDefault="007A2214" w:rsidP="006330B8">
            <w:pPr>
              <w:rPr>
                <w:rFonts w:ascii="Arial" w:hAnsi="Arial" w:cs="Arial"/>
                <w:b/>
              </w:rPr>
            </w:pPr>
            <w:r w:rsidRPr="007A2214">
              <w:rPr>
                <w:rFonts w:ascii="Arial" w:hAnsi="Arial" w:cs="Arial"/>
                <w:b/>
              </w:rPr>
              <w:t>in Wochen</w:t>
            </w:r>
          </w:p>
        </w:tc>
      </w:tr>
      <w:tr w:rsidR="007A2214" w:rsidRPr="007A2214" w:rsidTr="00F21120">
        <w:trPr>
          <w:trHeight w:val="10773"/>
        </w:trPr>
        <w:tc>
          <w:tcPr>
            <w:tcW w:w="1384" w:type="dxa"/>
          </w:tcPr>
          <w:p w:rsidR="007A2214" w:rsidRPr="007A2214" w:rsidRDefault="007A2214" w:rsidP="006330B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7A2214" w:rsidRPr="007A2214" w:rsidRDefault="007A2214" w:rsidP="006330B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A2214" w:rsidRPr="007A2214" w:rsidRDefault="007A2214" w:rsidP="006330B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A2214" w:rsidRPr="007A2214" w:rsidRDefault="007A2214" w:rsidP="006330B8">
            <w:pPr>
              <w:rPr>
                <w:rFonts w:ascii="Arial" w:hAnsi="Arial" w:cs="Arial"/>
              </w:rPr>
            </w:pPr>
          </w:p>
        </w:tc>
      </w:tr>
    </w:tbl>
    <w:p w:rsidR="000B2D2F" w:rsidRDefault="00787125" w:rsidP="000B2D2F">
      <w:pPr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A6321D0" wp14:editId="3814E4BB">
            <wp:simplePos x="0" y="0"/>
            <wp:positionH relativeFrom="column">
              <wp:posOffset>5243830</wp:posOffset>
            </wp:positionH>
            <wp:positionV relativeFrom="paragraph">
              <wp:posOffset>-99695</wp:posOffset>
            </wp:positionV>
            <wp:extent cx="952500" cy="476250"/>
            <wp:effectExtent l="0" t="0" r="0" b="0"/>
            <wp:wrapSquare wrapText="bothSides"/>
            <wp:docPr id="4" name="Grafik 4" descr="Bildergebnis für Logo Lehrplan 21 Basel-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Lehrplan 21 Basel-Sta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1C">
        <w:rPr>
          <w:rFonts w:ascii="Arial" w:hAnsi="Arial" w:cs="Arial"/>
          <w:sz w:val="48"/>
          <w:szCs w:val="48"/>
        </w:rPr>
        <w:t>Natur, Mensch, Gesellschaft</w:t>
      </w:r>
    </w:p>
    <w:p w:rsidR="000B2D2F" w:rsidRPr="00AC4F31" w:rsidRDefault="000B2D2F" w:rsidP="000B2D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Kompetenzen</w:t>
      </w:r>
      <w:r w:rsidR="00200A70">
        <w:rPr>
          <w:rFonts w:ascii="Arial" w:hAnsi="Arial" w:cs="Arial"/>
          <w:sz w:val="36"/>
          <w:szCs w:val="36"/>
        </w:rPr>
        <w:t>twicklung</w:t>
      </w:r>
      <w:r w:rsidRPr="00AC4F31">
        <w:rPr>
          <w:rFonts w:ascii="Arial" w:hAnsi="Arial" w:cs="Arial"/>
          <w:sz w:val="36"/>
          <w:szCs w:val="36"/>
        </w:rPr>
        <w:t xml:space="preserve"> </w:t>
      </w:r>
      <w:r w:rsidR="0094511C">
        <w:rPr>
          <w:rFonts w:ascii="Arial" w:hAnsi="Arial" w:cs="Arial"/>
          <w:sz w:val="36"/>
          <w:szCs w:val="36"/>
        </w:rPr>
        <w:t>(NMG.1 bis NMG.6)</w:t>
      </w:r>
    </w:p>
    <w:p w:rsidR="000B2D2F" w:rsidRDefault="000B2D2F" w:rsidP="000B2D2F">
      <w:pPr>
        <w:rPr>
          <w:rFonts w:ascii="Arial" w:hAnsi="Arial" w:cs="Arial"/>
        </w:rPr>
      </w:pPr>
    </w:p>
    <w:p w:rsidR="007F6907" w:rsidRPr="0094511C" w:rsidRDefault="007F6907" w:rsidP="006330B8">
      <w:pPr>
        <w:rPr>
          <w:rFonts w:ascii="Arial" w:hAnsi="Arial" w:cs="Arial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200A70" w:rsidRPr="00B70621" w:rsidTr="00200A70">
        <w:tc>
          <w:tcPr>
            <w:tcW w:w="1101" w:type="dxa"/>
          </w:tcPr>
          <w:p w:rsidR="00200A70" w:rsidRPr="00B70621" w:rsidRDefault="00200A70" w:rsidP="00D46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8505" w:type="dxa"/>
            <w:gridSpan w:val="5"/>
          </w:tcPr>
          <w:p w:rsidR="00200A70" w:rsidRPr="00200A70" w:rsidRDefault="00200A70" w:rsidP="0020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IDENTITÄT, KÖRPER, GESUNDHEIT</w:t>
            </w:r>
          </w:p>
        </w:tc>
      </w:tr>
      <w:tr w:rsidR="00200A70" w:rsidRPr="00894A9D" w:rsidTr="00200A70">
        <w:tc>
          <w:tcPr>
            <w:tcW w:w="1101" w:type="dxa"/>
          </w:tcPr>
          <w:p w:rsidR="00200A70" w:rsidRPr="00894A9D" w:rsidRDefault="00200A70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200A70" w:rsidRPr="00894A9D" w:rsidRDefault="00200A70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200A70" w:rsidRPr="00894A9D" w:rsidRDefault="00200A7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200A70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200A70" w:rsidRPr="00894A9D" w:rsidRDefault="00200A7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200A70" w:rsidRPr="00894A9D" w:rsidRDefault="00200A7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ich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 und Wohlbefinden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Ernährung und Lebensstil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Aufbau und Funktion des Körpers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Wachstum und Entwicklung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0A70" w:rsidRPr="00B70621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3701" w:type="dxa"/>
          </w:tcPr>
          <w:p w:rsidR="00200A70" w:rsidRPr="00B70621" w:rsidRDefault="00894A9D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 und Rollen</w:t>
            </w: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907" w:rsidRPr="007F6907" w:rsidRDefault="007F6907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 w:rsidR="00894A9D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8505" w:type="dxa"/>
            <w:gridSpan w:val="5"/>
          </w:tcPr>
          <w:p w:rsidR="00200A70" w:rsidRPr="00200A70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TIERE, PFLANZEN UND LEBENSRÄUME</w:t>
            </w:r>
          </w:p>
        </w:tc>
      </w:tr>
      <w:tr w:rsidR="00200A70" w:rsidRPr="00894A9D" w:rsidTr="00200A70">
        <w:tc>
          <w:tcPr>
            <w:tcW w:w="1101" w:type="dxa"/>
          </w:tcPr>
          <w:p w:rsidR="00200A70" w:rsidRPr="00894A9D" w:rsidRDefault="00200A70" w:rsidP="006914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200A70" w:rsidRPr="00894A9D" w:rsidRDefault="00200A70" w:rsidP="00200A7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200A70" w:rsidRPr="00894A9D" w:rsidRDefault="00200A70" w:rsidP="00200A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200A70" w:rsidRPr="00894A9D" w:rsidRDefault="00694057" w:rsidP="00200A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200A70" w:rsidRPr="00894A9D" w:rsidRDefault="00200A70" w:rsidP="00200A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200A70" w:rsidRPr="00894A9D" w:rsidRDefault="00200A70" w:rsidP="00200A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Tiere, Pflanzen, Lebensräume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Natürliche Grundlagen</w:t>
            </w:r>
            <w:r w:rsidR="007F6907">
              <w:rPr>
                <w:rFonts w:ascii="Arial" w:hAnsi="Arial" w:cs="Arial"/>
                <w:sz w:val="20"/>
                <w:szCs w:val="20"/>
              </w:rPr>
              <w:t xml:space="preserve"> für Lebewesen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Wachstum, Entwicklung, Fortpflanzung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Artenvielfalt und Ordnungssysteme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Erdgeschichte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70" w:rsidRPr="00B70621" w:rsidTr="00200A70">
        <w:tc>
          <w:tcPr>
            <w:tcW w:w="11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701" w:type="dxa"/>
          </w:tcPr>
          <w:p w:rsidR="00200A70" w:rsidRPr="00B70621" w:rsidRDefault="00200A70" w:rsidP="0069142D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Beziehung</w:t>
            </w:r>
            <w:r w:rsidR="007F6907">
              <w:rPr>
                <w:rFonts w:ascii="Arial" w:hAnsi="Arial" w:cs="Arial"/>
                <w:sz w:val="20"/>
                <w:szCs w:val="20"/>
              </w:rPr>
              <w:t>en</w:t>
            </w:r>
            <w:r w:rsidRPr="00B70621">
              <w:rPr>
                <w:rFonts w:ascii="Arial" w:hAnsi="Arial" w:cs="Arial"/>
                <w:sz w:val="20"/>
                <w:szCs w:val="20"/>
              </w:rPr>
              <w:t xml:space="preserve"> Natur-Mensch</w:t>
            </w: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200A70" w:rsidRPr="00B70621" w:rsidRDefault="00200A70" w:rsidP="002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907" w:rsidRPr="007F6907" w:rsidRDefault="007F6907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624729" w:rsidRPr="00B70621" w:rsidTr="00D46CFC">
        <w:tc>
          <w:tcPr>
            <w:tcW w:w="1101" w:type="dxa"/>
          </w:tcPr>
          <w:p w:rsidR="00624729" w:rsidRPr="00B70621" w:rsidRDefault="00624729" w:rsidP="0062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8505" w:type="dxa"/>
            <w:gridSpan w:val="5"/>
          </w:tcPr>
          <w:p w:rsidR="00624729" w:rsidRPr="00200A70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STOFFE, ENERGIE UND BEWEGUNGEN</w:t>
            </w:r>
          </w:p>
        </w:tc>
      </w:tr>
      <w:tr w:rsidR="00624729" w:rsidRPr="00894A9D" w:rsidTr="00D46CFC">
        <w:tc>
          <w:tcPr>
            <w:tcW w:w="1101" w:type="dxa"/>
          </w:tcPr>
          <w:p w:rsidR="00624729" w:rsidRPr="00894A9D" w:rsidRDefault="00624729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624729" w:rsidRPr="00894A9D" w:rsidRDefault="00624729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624729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Bewegungen und Kräfte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Energie und Energieumwandlungen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Stoffe und Stoffeigenschaften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701" w:type="dxa"/>
          </w:tcPr>
          <w:p w:rsidR="00624729" w:rsidRPr="00B70621" w:rsidRDefault="007F6907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Stoffbearbeitung</w:t>
            </w:r>
            <w:r w:rsidR="00624729">
              <w:rPr>
                <w:rFonts w:ascii="Arial" w:hAnsi="Arial" w:cs="Arial"/>
                <w:sz w:val="20"/>
                <w:szCs w:val="20"/>
              </w:rPr>
              <w:t xml:space="preserve"> und -veränderung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729" w:rsidRPr="007F6907" w:rsidRDefault="00624729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624729" w:rsidRPr="00B70621" w:rsidTr="00D46CFC">
        <w:tc>
          <w:tcPr>
            <w:tcW w:w="1101" w:type="dxa"/>
          </w:tcPr>
          <w:p w:rsidR="00624729" w:rsidRPr="00B70621" w:rsidRDefault="00624729" w:rsidP="0062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8505" w:type="dxa"/>
            <w:gridSpan w:val="5"/>
          </w:tcPr>
          <w:p w:rsidR="00624729" w:rsidRPr="00200A70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PHÄNOMENE DER NATUR</w:t>
            </w:r>
          </w:p>
        </w:tc>
      </w:tr>
      <w:tr w:rsidR="00624729" w:rsidRPr="00894A9D" w:rsidTr="00D46CFC">
        <w:tc>
          <w:tcPr>
            <w:tcW w:w="1101" w:type="dxa"/>
          </w:tcPr>
          <w:p w:rsidR="00624729" w:rsidRPr="00894A9D" w:rsidRDefault="00624729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624729" w:rsidRPr="00894A9D" w:rsidRDefault="00624729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624729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624729" w:rsidRPr="00894A9D" w:rsidRDefault="0062472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Signale, Sinne, Sinnesleistungen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01" w:type="dxa"/>
          </w:tcPr>
          <w:p w:rsidR="00624729" w:rsidRPr="00B70621" w:rsidRDefault="007F6907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Akustische Phänomene</w:t>
            </w:r>
            <w:r w:rsidR="00624729" w:rsidRPr="00B70621">
              <w:rPr>
                <w:rFonts w:ascii="Arial" w:hAnsi="Arial" w:cs="Arial"/>
                <w:sz w:val="20"/>
                <w:szCs w:val="20"/>
              </w:rPr>
              <w:t>, Ohr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01" w:type="dxa"/>
          </w:tcPr>
          <w:p w:rsidR="00624729" w:rsidRPr="00B70621" w:rsidRDefault="007F6907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Optische Phänomene</w:t>
            </w:r>
            <w:r w:rsidR="00624729" w:rsidRPr="00B70621">
              <w:rPr>
                <w:rFonts w:ascii="Arial" w:hAnsi="Arial" w:cs="Arial"/>
                <w:sz w:val="20"/>
                <w:szCs w:val="20"/>
              </w:rPr>
              <w:t>, Auge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4.4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Wetter und Witterung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4.4.2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Naturereignisse und Naturgefahren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729" w:rsidRPr="00B70621" w:rsidTr="00D46CFC">
        <w:tc>
          <w:tcPr>
            <w:tcW w:w="11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701" w:type="dxa"/>
          </w:tcPr>
          <w:p w:rsidR="00624729" w:rsidRPr="00B70621" w:rsidRDefault="0062472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Erde und Universum</w:t>
            </w: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624729" w:rsidRPr="00B70621" w:rsidRDefault="0062472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729" w:rsidRPr="007F6907" w:rsidRDefault="00624729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741200" w:rsidRPr="00B70621" w:rsidTr="00D46CFC">
        <w:tc>
          <w:tcPr>
            <w:tcW w:w="1101" w:type="dxa"/>
          </w:tcPr>
          <w:p w:rsidR="00741200" w:rsidRPr="00B70621" w:rsidRDefault="00741200" w:rsidP="0074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8505" w:type="dxa"/>
            <w:gridSpan w:val="5"/>
          </w:tcPr>
          <w:p w:rsidR="00741200" w:rsidRPr="00200A70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TECHNISCHE ENTWICKLUNGEN UND UMSETZUNGEN</w:t>
            </w:r>
          </w:p>
        </w:tc>
      </w:tr>
      <w:tr w:rsidR="00741200" w:rsidRPr="00894A9D" w:rsidTr="00D46CFC">
        <w:tc>
          <w:tcPr>
            <w:tcW w:w="1101" w:type="dxa"/>
          </w:tcPr>
          <w:p w:rsidR="00741200" w:rsidRPr="00894A9D" w:rsidRDefault="00741200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741200" w:rsidRPr="00894A9D" w:rsidRDefault="00741200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741200" w:rsidRPr="00894A9D" w:rsidRDefault="0074120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741200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741200" w:rsidRPr="00894A9D" w:rsidRDefault="0074120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741200" w:rsidRPr="00894A9D" w:rsidRDefault="00741200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741200" w:rsidRPr="00B70621" w:rsidTr="00D46CFC">
        <w:tc>
          <w:tcPr>
            <w:tcW w:w="1101" w:type="dxa"/>
          </w:tcPr>
          <w:p w:rsidR="0074120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062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701" w:type="dxa"/>
          </w:tcPr>
          <w:p w:rsidR="00741200" w:rsidRPr="00B70621" w:rsidRDefault="00741200" w:rsidP="00741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von Geräten und Anlagen</w:t>
            </w: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00" w:rsidRPr="00B70621" w:rsidTr="00D46CFC">
        <w:tc>
          <w:tcPr>
            <w:tcW w:w="1101" w:type="dxa"/>
          </w:tcPr>
          <w:p w:rsidR="0074120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0621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701" w:type="dxa"/>
          </w:tcPr>
          <w:p w:rsidR="0074120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Elektrische Phänomene</w:t>
            </w: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00" w:rsidRPr="00B70621" w:rsidTr="00D46CFC">
        <w:tc>
          <w:tcPr>
            <w:tcW w:w="1101" w:type="dxa"/>
          </w:tcPr>
          <w:p w:rsidR="0074120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062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01" w:type="dxa"/>
          </w:tcPr>
          <w:p w:rsidR="00741200" w:rsidRPr="00B70621" w:rsidRDefault="00741200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Magnetische Phänomene</w:t>
            </w: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00" w:rsidRPr="00B70621" w:rsidTr="00D46CFC">
        <w:tc>
          <w:tcPr>
            <w:tcW w:w="1101" w:type="dxa"/>
          </w:tcPr>
          <w:p w:rsidR="00741200" w:rsidRPr="00B70621" w:rsidRDefault="00741200" w:rsidP="00741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062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1" w:type="dxa"/>
          </w:tcPr>
          <w:p w:rsidR="00741200" w:rsidRPr="00B70621" w:rsidRDefault="00694057" w:rsidP="00694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Technische</w:t>
            </w:r>
            <w:r w:rsidR="00741200">
              <w:rPr>
                <w:rFonts w:ascii="Arial" w:hAnsi="Arial" w:cs="Arial"/>
                <w:sz w:val="20"/>
                <w:szCs w:val="20"/>
              </w:rPr>
              <w:t xml:space="preserve"> Entwicklungen</w:t>
            </w: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741200" w:rsidRPr="00B70621" w:rsidRDefault="00741200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200" w:rsidRPr="007F6907" w:rsidRDefault="00741200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541D19" w:rsidRPr="00B70621" w:rsidTr="00D46CFC">
        <w:tc>
          <w:tcPr>
            <w:tcW w:w="1101" w:type="dxa"/>
          </w:tcPr>
          <w:p w:rsidR="00541D19" w:rsidRPr="00B70621" w:rsidRDefault="00541D19" w:rsidP="00541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8505" w:type="dxa"/>
            <w:gridSpan w:val="5"/>
          </w:tcPr>
          <w:p w:rsidR="00541D19" w:rsidRPr="00200A70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ARBEIT, PRODUKTION UND KONSUM</w:t>
            </w:r>
          </w:p>
        </w:tc>
      </w:tr>
      <w:tr w:rsidR="00541D19" w:rsidRPr="00894A9D" w:rsidTr="00D46CFC">
        <w:tc>
          <w:tcPr>
            <w:tcW w:w="1101" w:type="dxa"/>
          </w:tcPr>
          <w:p w:rsidR="00541D19" w:rsidRPr="00894A9D" w:rsidRDefault="00541D19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541D19" w:rsidRPr="00894A9D" w:rsidRDefault="00541D19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541D19" w:rsidRPr="00894A9D" w:rsidRDefault="00541D1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541D19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541D19" w:rsidRPr="00894A9D" w:rsidRDefault="00541D1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541D19" w:rsidRPr="00894A9D" w:rsidRDefault="00541D19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541D19" w:rsidRPr="00B70621" w:rsidTr="00D46CFC">
        <w:tc>
          <w:tcPr>
            <w:tcW w:w="11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701" w:type="dxa"/>
          </w:tcPr>
          <w:p w:rsidR="00541D19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Bedeutung der </w:t>
            </w:r>
            <w:r w:rsidR="00541D19" w:rsidRPr="00B70621">
              <w:rPr>
                <w:rFonts w:ascii="Arial" w:hAnsi="Arial" w:cs="Arial"/>
                <w:sz w:val="20"/>
                <w:szCs w:val="20"/>
              </w:rPr>
              <w:t>Arbeit, Arbeitswelten</w:t>
            </w: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19" w:rsidRPr="00B70621" w:rsidTr="00D46CFC">
        <w:tc>
          <w:tcPr>
            <w:tcW w:w="11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7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Berufliche Orientierung</w:t>
            </w: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19" w:rsidRPr="00B70621" w:rsidTr="00D46CFC">
        <w:tc>
          <w:tcPr>
            <w:tcW w:w="11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701" w:type="dxa"/>
          </w:tcPr>
          <w:p w:rsidR="00541D19" w:rsidRPr="00B70621" w:rsidRDefault="00541D19" w:rsidP="00B27363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 xml:space="preserve">Verarbeitung </w:t>
            </w:r>
            <w:r w:rsidR="00B27363">
              <w:rPr>
                <w:rFonts w:ascii="Arial" w:hAnsi="Arial" w:cs="Arial"/>
                <w:sz w:val="20"/>
                <w:szCs w:val="20"/>
              </w:rPr>
              <w:t>und Produktion</w:t>
            </w: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19" w:rsidRPr="00B70621" w:rsidTr="00D46CFC">
        <w:tc>
          <w:tcPr>
            <w:tcW w:w="11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7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Kaufen, Tauschen, Verkaufen</w:t>
            </w: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19" w:rsidRPr="00B70621" w:rsidTr="00D46CFC">
        <w:tc>
          <w:tcPr>
            <w:tcW w:w="11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701" w:type="dxa"/>
          </w:tcPr>
          <w:p w:rsidR="00541D19" w:rsidRPr="00B70621" w:rsidRDefault="00541D19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Wünsche, Bedürfnisse, Konsum</w:t>
            </w: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541D19" w:rsidRPr="00B70621" w:rsidRDefault="00541D19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907" w:rsidRDefault="00787125" w:rsidP="007F6907">
      <w:pPr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7BDBDE" wp14:editId="22AEAEC3">
            <wp:simplePos x="0" y="0"/>
            <wp:positionH relativeFrom="column">
              <wp:posOffset>5329555</wp:posOffset>
            </wp:positionH>
            <wp:positionV relativeFrom="paragraph">
              <wp:posOffset>-118745</wp:posOffset>
            </wp:positionV>
            <wp:extent cx="952500" cy="476250"/>
            <wp:effectExtent l="0" t="0" r="0" b="0"/>
            <wp:wrapSquare wrapText="bothSides"/>
            <wp:docPr id="3" name="Grafik 3" descr="Bildergebnis für Logo Lehrplan 21 Basel-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Lehrplan 21 Basel-Sta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1C">
        <w:rPr>
          <w:rFonts w:ascii="Arial" w:hAnsi="Arial" w:cs="Arial"/>
          <w:sz w:val="48"/>
          <w:szCs w:val="48"/>
        </w:rPr>
        <w:t>Natur, Mensch, Gesellschaft</w:t>
      </w:r>
    </w:p>
    <w:p w:rsidR="007F6907" w:rsidRPr="00AC4F31" w:rsidRDefault="007F6907" w:rsidP="007F69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Kompetenzentwicklung</w:t>
      </w:r>
      <w:r w:rsidRPr="00AC4F31">
        <w:rPr>
          <w:rFonts w:ascii="Arial" w:hAnsi="Arial" w:cs="Arial"/>
          <w:sz w:val="36"/>
          <w:szCs w:val="36"/>
        </w:rPr>
        <w:t xml:space="preserve"> </w:t>
      </w:r>
      <w:r w:rsidR="0094511C">
        <w:rPr>
          <w:rFonts w:ascii="Arial" w:hAnsi="Arial" w:cs="Arial"/>
          <w:sz w:val="36"/>
          <w:szCs w:val="36"/>
        </w:rPr>
        <w:t>(NMG.7 bis NMG.12)</w:t>
      </w:r>
    </w:p>
    <w:p w:rsidR="007F6907" w:rsidRPr="00552D6F" w:rsidRDefault="007F6907" w:rsidP="007F6907">
      <w:pPr>
        <w:rPr>
          <w:rFonts w:ascii="Arial" w:hAnsi="Arial" w:cs="Arial"/>
        </w:rPr>
      </w:pPr>
    </w:p>
    <w:p w:rsidR="007F6907" w:rsidRPr="00552D6F" w:rsidRDefault="007F6907" w:rsidP="007F6907">
      <w:pPr>
        <w:rPr>
          <w:rFonts w:ascii="Arial" w:hAnsi="Arial" w:cs="Arial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B27363" w:rsidRPr="00B70621" w:rsidTr="00D46CFC">
        <w:tc>
          <w:tcPr>
            <w:tcW w:w="1101" w:type="dxa"/>
          </w:tcPr>
          <w:p w:rsidR="00B27363" w:rsidRPr="00B70621" w:rsidRDefault="00B27363" w:rsidP="00B27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8505" w:type="dxa"/>
            <w:gridSpan w:val="5"/>
          </w:tcPr>
          <w:p w:rsidR="00B27363" w:rsidRPr="00200A70" w:rsidRDefault="00B27363" w:rsidP="00B27363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 xml:space="preserve">LEBENSWEISEN </w:t>
            </w:r>
            <w:r>
              <w:rPr>
                <w:rFonts w:ascii="Arial" w:hAnsi="Arial" w:cs="Arial"/>
                <w:b/>
                <w:sz w:val="20"/>
                <w:szCs w:val="20"/>
              </w:rPr>
              <w:t>UND LEBENSRÄUME</w:t>
            </w:r>
          </w:p>
        </w:tc>
      </w:tr>
      <w:tr w:rsidR="00B27363" w:rsidRPr="00894A9D" w:rsidTr="00D46CFC">
        <w:tc>
          <w:tcPr>
            <w:tcW w:w="1101" w:type="dxa"/>
          </w:tcPr>
          <w:p w:rsidR="00B27363" w:rsidRPr="00894A9D" w:rsidRDefault="00B27363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B27363" w:rsidRPr="00894A9D" w:rsidRDefault="00B27363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B27363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Verschiedene Lebensweisen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Lebensweise in fernen Gebieten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Mobilität, Verkehr, Transport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 xml:space="preserve">Zusammenhänge </w:t>
            </w:r>
            <w:r>
              <w:rPr>
                <w:rFonts w:ascii="Arial" w:hAnsi="Arial" w:cs="Arial"/>
                <w:sz w:val="20"/>
                <w:szCs w:val="20"/>
              </w:rPr>
              <w:t>zwischen Räumen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363" w:rsidRPr="007F6907" w:rsidRDefault="00B27363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.8</w:t>
            </w:r>
          </w:p>
        </w:tc>
        <w:tc>
          <w:tcPr>
            <w:tcW w:w="8505" w:type="dxa"/>
            <w:gridSpan w:val="5"/>
          </w:tcPr>
          <w:p w:rsidR="00B27363" w:rsidRPr="00200A70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MENSCHEN NUTZEN RÄUME</w:t>
            </w:r>
          </w:p>
        </w:tc>
      </w:tr>
      <w:tr w:rsidR="00B27363" w:rsidRPr="00894A9D" w:rsidTr="00D46CFC">
        <w:tc>
          <w:tcPr>
            <w:tcW w:w="1101" w:type="dxa"/>
          </w:tcPr>
          <w:p w:rsidR="00B27363" w:rsidRPr="00894A9D" w:rsidRDefault="00B27363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B27363" w:rsidRPr="00894A9D" w:rsidRDefault="00B27363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B27363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Räume, Raumwahrnehmung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Raumnutzung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Raumveränderung</w:t>
            </w:r>
            <w:r w:rsidRPr="00B70621">
              <w:rPr>
                <w:rFonts w:ascii="Arial" w:hAnsi="Arial" w:cs="Arial"/>
                <w:sz w:val="20"/>
                <w:szCs w:val="20"/>
              </w:rPr>
              <w:t>, Raumentwicklung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Orientierungsmittel und -raster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Orientierung im Gelände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363" w:rsidRPr="007F6907" w:rsidRDefault="00B27363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B27363" w:rsidRPr="00B70621" w:rsidTr="00D46CFC">
        <w:tc>
          <w:tcPr>
            <w:tcW w:w="1101" w:type="dxa"/>
          </w:tcPr>
          <w:p w:rsidR="00B27363" w:rsidRPr="00B70621" w:rsidRDefault="00B27363" w:rsidP="00B27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.9</w:t>
            </w:r>
          </w:p>
        </w:tc>
        <w:tc>
          <w:tcPr>
            <w:tcW w:w="8505" w:type="dxa"/>
            <w:gridSpan w:val="5"/>
          </w:tcPr>
          <w:p w:rsidR="00B27363" w:rsidRPr="00200A70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ZEIT, DAUER UND WANDEL</w:t>
            </w:r>
          </w:p>
        </w:tc>
      </w:tr>
      <w:tr w:rsidR="00B27363" w:rsidRPr="00894A9D" w:rsidTr="00D46CFC">
        <w:tc>
          <w:tcPr>
            <w:tcW w:w="1101" w:type="dxa"/>
          </w:tcPr>
          <w:p w:rsidR="00B27363" w:rsidRPr="00894A9D" w:rsidRDefault="00B27363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B27363" w:rsidRPr="00894A9D" w:rsidRDefault="00B27363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B27363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Zeit und Zeitkonzept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Dauer und Wandel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Rekonstruktion von Vergangenheit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3701" w:type="dxa"/>
          </w:tcPr>
          <w:p w:rsidR="00B27363" w:rsidRPr="00B70621" w:rsidRDefault="00B27363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Geschichte und Geschichten</w:t>
            </w: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27363" w:rsidRPr="00B70621" w:rsidRDefault="00B27363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363" w:rsidRPr="007F6907" w:rsidRDefault="00B27363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346C11" w:rsidRPr="00B70621" w:rsidTr="00D46CFC">
        <w:tc>
          <w:tcPr>
            <w:tcW w:w="1101" w:type="dxa"/>
          </w:tcPr>
          <w:p w:rsidR="00346C11" w:rsidRPr="00B70621" w:rsidRDefault="00346C11" w:rsidP="00346C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8505" w:type="dxa"/>
            <w:gridSpan w:val="5"/>
          </w:tcPr>
          <w:p w:rsidR="00346C11" w:rsidRPr="00200A70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GEMEINSCHAFT UND GESELLSCHAFT</w:t>
            </w:r>
          </w:p>
        </w:tc>
      </w:tr>
      <w:tr w:rsidR="00346C11" w:rsidRPr="00894A9D" w:rsidTr="00D46CFC">
        <w:tc>
          <w:tcPr>
            <w:tcW w:w="1101" w:type="dxa"/>
          </w:tcPr>
          <w:p w:rsidR="00346C11" w:rsidRPr="00894A9D" w:rsidRDefault="00346C11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346C11" w:rsidRPr="00894A9D" w:rsidRDefault="00346C11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346C11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Gemeinschaft und Konflikte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Freundschaft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Öffentliche Institutionen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Macht und Recht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Politische Handlungskompetenz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C11" w:rsidRPr="007F6907" w:rsidRDefault="00346C11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B27363" w:rsidRPr="00B70621" w:rsidTr="00D46CFC">
        <w:tc>
          <w:tcPr>
            <w:tcW w:w="1101" w:type="dxa"/>
          </w:tcPr>
          <w:p w:rsidR="00B27363" w:rsidRPr="00B70621" w:rsidRDefault="00B27363" w:rsidP="00D46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46C1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05" w:type="dxa"/>
            <w:gridSpan w:val="5"/>
          </w:tcPr>
          <w:p w:rsidR="00B27363" w:rsidRPr="00200A70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GRUNDERFAHRUNGEN, WERTE UND NORMEN</w:t>
            </w:r>
          </w:p>
        </w:tc>
      </w:tr>
      <w:tr w:rsidR="00B27363" w:rsidRPr="00894A9D" w:rsidTr="00D46CFC">
        <w:tc>
          <w:tcPr>
            <w:tcW w:w="1101" w:type="dxa"/>
          </w:tcPr>
          <w:p w:rsidR="00B27363" w:rsidRPr="00894A9D" w:rsidRDefault="00B27363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B27363" w:rsidRPr="00894A9D" w:rsidRDefault="00B27363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B27363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B27363" w:rsidRPr="00894A9D" w:rsidRDefault="00B27363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Menschliche Grunderfahrungen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Philosophieren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Werte und Normen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Ethische Urteilsbildung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363" w:rsidRPr="007F6907" w:rsidRDefault="00B27363" w:rsidP="006330B8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701"/>
        <w:gridCol w:w="1201"/>
        <w:gridCol w:w="1201"/>
        <w:gridCol w:w="1201"/>
        <w:gridCol w:w="1201"/>
      </w:tblGrid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NMG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8505" w:type="dxa"/>
            <w:gridSpan w:val="5"/>
          </w:tcPr>
          <w:p w:rsidR="00346C11" w:rsidRPr="00200A70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b/>
                <w:sz w:val="20"/>
                <w:szCs w:val="20"/>
              </w:rPr>
              <w:t>RELIGIONEN UND WELTSICHTEN</w:t>
            </w:r>
          </w:p>
        </w:tc>
      </w:tr>
      <w:tr w:rsidR="00346C11" w:rsidRPr="00894A9D" w:rsidTr="00D46CFC">
        <w:tc>
          <w:tcPr>
            <w:tcW w:w="1101" w:type="dxa"/>
          </w:tcPr>
          <w:p w:rsidR="00346C11" w:rsidRPr="00894A9D" w:rsidRDefault="00346C11" w:rsidP="00D46CF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01" w:type="dxa"/>
          </w:tcPr>
          <w:p w:rsidR="00346C11" w:rsidRPr="00894A9D" w:rsidRDefault="00346C11" w:rsidP="00D46CF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Kompetenzentwicklung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keine</w:t>
            </w:r>
          </w:p>
        </w:tc>
        <w:tc>
          <w:tcPr>
            <w:tcW w:w="1201" w:type="dxa"/>
          </w:tcPr>
          <w:p w:rsidR="00346C11" w:rsidRPr="00894A9D" w:rsidRDefault="00694057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gering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mittel</w:t>
            </w:r>
          </w:p>
        </w:tc>
        <w:tc>
          <w:tcPr>
            <w:tcW w:w="1201" w:type="dxa"/>
          </w:tcPr>
          <w:p w:rsidR="00346C11" w:rsidRPr="00894A9D" w:rsidRDefault="00346C11" w:rsidP="00D46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4A9D">
              <w:rPr>
                <w:rFonts w:ascii="Arial" w:hAnsi="Arial" w:cs="Arial"/>
                <w:i/>
                <w:sz w:val="20"/>
                <w:szCs w:val="20"/>
              </w:rPr>
              <w:t>hoch</w:t>
            </w: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Religiöse Spuren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Texte und Lehren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Rituale und Bräuche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Festtraditionen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11" w:rsidRPr="00B70621" w:rsidTr="00D46CFC">
        <w:tc>
          <w:tcPr>
            <w:tcW w:w="11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 w:rsidRPr="00B70621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3701" w:type="dxa"/>
          </w:tcPr>
          <w:p w:rsidR="00346C11" w:rsidRPr="00B70621" w:rsidRDefault="00346C11" w:rsidP="00D4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70621">
              <w:rPr>
                <w:rFonts w:ascii="Arial" w:hAnsi="Arial" w:cs="Arial"/>
                <w:sz w:val="20"/>
                <w:szCs w:val="20"/>
              </w:rPr>
              <w:t xml:space="preserve">eltanschauliche </w:t>
            </w:r>
            <w:r>
              <w:rPr>
                <w:rFonts w:ascii="Arial" w:hAnsi="Arial" w:cs="Arial"/>
                <w:sz w:val="20"/>
                <w:szCs w:val="20"/>
              </w:rPr>
              <w:t xml:space="preserve">und kulturelle </w:t>
            </w:r>
            <w:r w:rsidRPr="00B70621">
              <w:rPr>
                <w:rFonts w:ascii="Arial" w:hAnsi="Arial" w:cs="Arial"/>
                <w:sz w:val="20"/>
                <w:szCs w:val="20"/>
              </w:rPr>
              <w:t>Vielfalt</w:t>
            </w: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346C11" w:rsidRPr="00B70621" w:rsidRDefault="00346C11" w:rsidP="00D46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C11" w:rsidRDefault="00346C11" w:rsidP="006330B8">
      <w:pPr>
        <w:rPr>
          <w:rFonts w:ascii="Arial" w:hAnsi="Arial" w:cs="Arial"/>
          <w:sz w:val="20"/>
          <w:szCs w:val="20"/>
        </w:rPr>
      </w:pPr>
    </w:p>
    <w:p w:rsidR="00923AD2" w:rsidRDefault="00923AD2" w:rsidP="006330B8">
      <w:pPr>
        <w:rPr>
          <w:rFonts w:ascii="Arial" w:hAnsi="Arial" w:cs="Arial"/>
          <w:sz w:val="20"/>
          <w:szCs w:val="20"/>
        </w:rPr>
      </w:pPr>
    </w:p>
    <w:p w:rsidR="000B2D2F" w:rsidRDefault="0094511C" w:rsidP="0063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Erklärung:</w:t>
      </w:r>
    </w:p>
    <w:p w:rsidR="00923AD2" w:rsidRDefault="0094511C" w:rsidP="0063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Items geben die durchschnittliche Kompetenzenzwicklung an. Das Item </w:t>
      </w:r>
      <w:r w:rsidR="00923AD2">
        <w:rPr>
          <w:rFonts w:ascii="Arial" w:hAnsi="Arial" w:cs="Arial"/>
          <w:sz w:val="20"/>
          <w:szCs w:val="20"/>
        </w:rPr>
        <w:t xml:space="preserve">«keine» bedeutet, dass diese Kompetenz nicht bearbeitet wurde. Das Item </w:t>
      </w:r>
      <w:r>
        <w:rPr>
          <w:rFonts w:ascii="Arial" w:hAnsi="Arial" w:cs="Arial"/>
          <w:sz w:val="20"/>
          <w:szCs w:val="20"/>
        </w:rPr>
        <w:t>«mittel» entspricht in etwa der Kompetenzstufe vor dem Orientierungspunkt. Z</w:t>
      </w:r>
      <w:r w:rsidR="00552D6F">
        <w:rPr>
          <w:rFonts w:ascii="Arial" w:hAnsi="Arial" w:cs="Arial"/>
          <w:sz w:val="20"/>
          <w:szCs w:val="20"/>
        </w:rPr>
        <w:t>utreffende</w:t>
      </w:r>
      <w:r>
        <w:rPr>
          <w:rFonts w:ascii="Arial" w:hAnsi="Arial" w:cs="Arial"/>
          <w:sz w:val="20"/>
          <w:szCs w:val="20"/>
        </w:rPr>
        <w:t xml:space="preserve"> Kästchen anfärben.</w:t>
      </w:r>
    </w:p>
    <w:p w:rsidR="007F6907" w:rsidRDefault="00FB5D7B" w:rsidP="007F6907">
      <w:pPr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F67840" wp14:editId="676FED70">
            <wp:simplePos x="0" y="0"/>
            <wp:positionH relativeFrom="column">
              <wp:posOffset>5177155</wp:posOffset>
            </wp:positionH>
            <wp:positionV relativeFrom="paragraph">
              <wp:posOffset>-166370</wp:posOffset>
            </wp:positionV>
            <wp:extent cx="952500" cy="476250"/>
            <wp:effectExtent l="0" t="0" r="0" b="0"/>
            <wp:wrapSquare wrapText="bothSides"/>
            <wp:docPr id="2" name="Grafik 2" descr="Bildergebnis für Logo Lehrplan 21 Basel-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Lehrplan 21 Basel-Sta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1C">
        <w:rPr>
          <w:rFonts w:ascii="Arial" w:hAnsi="Arial" w:cs="Arial"/>
          <w:sz w:val="48"/>
          <w:szCs w:val="48"/>
        </w:rPr>
        <w:t>Natur, Mensch, Gesellschaft</w:t>
      </w:r>
    </w:p>
    <w:p w:rsidR="003A5C31" w:rsidRDefault="003A5C31" w:rsidP="007F69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Bemerkungen</w:t>
      </w:r>
    </w:p>
    <w:p w:rsidR="003A5C31" w:rsidRDefault="003A5C31" w:rsidP="003A5C31">
      <w:pPr>
        <w:rPr>
          <w:rFonts w:ascii="Arial" w:hAnsi="Arial" w:cs="Arial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3A5C31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Ausserschulische Lernorte</w:t>
            </w:r>
          </w:p>
        </w:tc>
      </w:tr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3A5C31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Fördern und Beurteilen</w:t>
            </w:r>
          </w:p>
        </w:tc>
      </w:tr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3A5C31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Überfachlichen Kompetenzen</w:t>
            </w:r>
          </w:p>
        </w:tc>
      </w:tr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3A5C31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Leitidee Nachhaltige Entwicklung</w:t>
            </w:r>
          </w:p>
        </w:tc>
      </w:tr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3A5C31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Medien und Informatik</w:t>
            </w:r>
          </w:p>
        </w:tc>
      </w:tr>
      <w:tr w:rsidR="003A5C31" w:rsidTr="00923AD2">
        <w:trPr>
          <w:trHeight w:val="2041"/>
        </w:trPr>
        <w:tc>
          <w:tcPr>
            <w:tcW w:w="9606" w:type="dxa"/>
          </w:tcPr>
          <w:p w:rsidR="003A5C31" w:rsidRPr="0003752C" w:rsidRDefault="0003752C" w:rsidP="003A5C31">
            <w:pPr>
              <w:rPr>
                <w:rFonts w:ascii="Arial" w:hAnsi="Arial" w:cs="Arial"/>
              </w:rPr>
            </w:pPr>
            <w:r w:rsidRPr="0003752C">
              <w:rPr>
                <w:rFonts w:ascii="Arial" w:hAnsi="Arial" w:cs="Arial"/>
              </w:rPr>
              <w:t>Weiteres</w:t>
            </w:r>
          </w:p>
        </w:tc>
      </w:tr>
    </w:tbl>
    <w:p w:rsidR="007F6907" w:rsidRDefault="007F6907" w:rsidP="006330B8">
      <w:pPr>
        <w:rPr>
          <w:rFonts w:ascii="Arial" w:hAnsi="Arial" w:cs="Arial"/>
          <w:sz w:val="20"/>
          <w:szCs w:val="20"/>
        </w:rPr>
      </w:pPr>
    </w:p>
    <w:sectPr w:rsidR="007F690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2C" w:rsidRDefault="0003752C" w:rsidP="0003752C">
      <w:r>
        <w:separator/>
      </w:r>
    </w:p>
  </w:endnote>
  <w:endnote w:type="continuationSeparator" w:id="0">
    <w:p w:rsidR="0003752C" w:rsidRDefault="0003752C" w:rsidP="0003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2C" w:rsidRPr="00923AD2" w:rsidRDefault="0023241A" w:rsidP="00923AD2">
    <w:pPr>
      <w:pStyle w:val="Fuzeile"/>
      <w:tabs>
        <w:tab w:val="clear" w:pos="4536"/>
        <w:tab w:val="left" w:pos="779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NMG-Übergabejournal </w:t>
    </w:r>
    <w:r w:rsidR="0003752C">
      <w:rPr>
        <w:rFonts w:ascii="Arial" w:hAnsi="Arial" w:cs="Arial"/>
        <w:sz w:val="20"/>
        <w:szCs w:val="20"/>
      </w:rPr>
      <w:tab/>
    </w:r>
    <w:r w:rsidR="0003752C" w:rsidRPr="0003752C">
      <w:rPr>
        <w:rFonts w:ascii="Arial" w:hAnsi="Arial" w:cs="Arial"/>
        <w:sz w:val="20"/>
        <w:szCs w:val="20"/>
        <w:lang w:val="de-DE"/>
      </w:rPr>
      <w:t xml:space="preserve">Seite </w:t>
    </w:r>
    <w:r w:rsidR="0003752C" w:rsidRPr="00607A8D">
      <w:rPr>
        <w:rFonts w:ascii="Arial" w:hAnsi="Arial" w:cs="Arial"/>
        <w:sz w:val="20"/>
        <w:szCs w:val="20"/>
      </w:rPr>
      <w:fldChar w:fldCharType="begin"/>
    </w:r>
    <w:r w:rsidR="0003752C" w:rsidRPr="00607A8D">
      <w:rPr>
        <w:rFonts w:ascii="Arial" w:hAnsi="Arial" w:cs="Arial"/>
        <w:sz w:val="20"/>
        <w:szCs w:val="20"/>
      </w:rPr>
      <w:instrText>PAGE  \* Arabic  \* MERGEFORMAT</w:instrText>
    </w:r>
    <w:r w:rsidR="0003752C" w:rsidRPr="00607A8D">
      <w:rPr>
        <w:rFonts w:ascii="Arial" w:hAnsi="Arial" w:cs="Arial"/>
        <w:sz w:val="20"/>
        <w:szCs w:val="20"/>
      </w:rPr>
      <w:fldChar w:fldCharType="separate"/>
    </w:r>
    <w:r w:rsidR="00253591" w:rsidRPr="00253591">
      <w:rPr>
        <w:rFonts w:ascii="Arial" w:hAnsi="Arial" w:cs="Arial"/>
        <w:noProof/>
        <w:sz w:val="20"/>
        <w:szCs w:val="20"/>
        <w:lang w:val="de-DE"/>
      </w:rPr>
      <w:t>1</w:t>
    </w:r>
    <w:r w:rsidR="0003752C" w:rsidRPr="00607A8D">
      <w:rPr>
        <w:rFonts w:ascii="Arial" w:hAnsi="Arial" w:cs="Arial"/>
        <w:sz w:val="20"/>
        <w:szCs w:val="20"/>
      </w:rPr>
      <w:fldChar w:fldCharType="end"/>
    </w:r>
    <w:r w:rsidR="0003752C" w:rsidRPr="0003752C">
      <w:rPr>
        <w:rFonts w:ascii="Arial" w:hAnsi="Arial" w:cs="Arial"/>
        <w:sz w:val="20"/>
        <w:szCs w:val="20"/>
        <w:lang w:val="de-DE"/>
      </w:rPr>
      <w:t xml:space="preserve"> von </w:t>
    </w:r>
    <w:r w:rsidR="0003752C" w:rsidRPr="00607A8D">
      <w:rPr>
        <w:rFonts w:ascii="Arial" w:hAnsi="Arial" w:cs="Arial"/>
        <w:sz w:val="20"/>
        <w:szCs w:val="20"/>
      </w:rPr>
      <w:fldChar w:fldCharType="begin"/>
    </w:r>
    <w:r w:rsidR="0003752C" w:rsidRPr="00607A8D">
      <w:rPr>
        <w:rFonts w:ascii="Arial" w:hAnsi="Arial" w:cs="Arial"/>
        <w:sz w:val="20"/>
        <w:szCs w:val="20"/>
      </w:rPr>
      <w:instrText>NUMPAGES  \* Arabic  \* MERGEFORMAT</w:instrText>
    </w:r>
    <w:r w:rsidR="0003752C" w:rsidRPr="00607A8D">
      <w:rPr>
        <w:rFonts w:ascii="Arial" w:hAnsi="Arial" w:cs="Arial"/>
        <w:sz w:val="20"/>
        <w:szCs w:val="20"/>
      </w:rPr>
      <w:fldChar w:fldCharType="separate"/>
    </w:r>
    <w:r w:rsidR="00253591" w:rsidRPr="00253591">
      <w:rPr>
        <w:rFonts w:ascii="Arial" w:hAnsi="Arial" w:cs="Arial"/>
        <w:noProof/>
        <w:sz w:val="20"/>
        <w:szCs w:val="20"/>
        <w:lang w:val="de-DE"/>
      </w:rPr>
      <w:t>4</w:t>
    </w:r>
    <w:r w:rsidR="0003752C" w:rsidRPr="00607A8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2C" w:rsidRDefault="0003752C" w:rsidP="0003752C">
      <w:r>
        <w:separator/>
      </w:r>
    </w:p>
  </w:footnote>
  <w:footnote w:type="continuationSeparator" w:id="0">
    <w:p w:rsidR="0003752C" w:rsidRDefault="0003752C" w:rsidP="0003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4F2"/>
    <w:multiLevelType w:val="hybridMultilevel"/>
    <w:tmpl w:val="578C0EC4"/>
    <w:lvl w:ilvl="0" w:tplc="D1461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0B9D"/>
    <w:multiLevelType w:val="hybridMultilevel"/>
    <w:tmpl w:val="79FAD62A"/>
    <w:lvl w:ilvl="0" w:tplc="D1461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8227E"/>
    <w:multiLevelType w:val="multilevel"/>
    <w:tmpl w:val="F10E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E1"/>
    <w:rsid w:val="0003752C"/>
    <w:rsid w:val="00040D1F"/>
    <w:rsid w:val="000B2D2F"/>
    <w:rsid w:val="001B530E"/>
    <w:rsid w:val="00200A70"/>
    <w:rsid w:val="0023241A"/>
    <w:rsid w:val="00253591"/>
    <w:rsid w:val="00282540"/>
    <w:rsid w:val="00286D9D"/>
    <w:rsid w:val="0029614A"/>
    <w:rsid w:val="002B4D5A"/>
    <w:rsid w:val="0031729C"/>
    <w:rsid w:val="00344370"/>
    <w:rsid w:val="00346C11"/>
    <w:rsid w:val="00350468"/>
    <w:rsid w:val="003A5C31"/>
    <w:rsid w:val="003C06DE"/>
    <w:rsid w:val="004C1E40"/>
    <w:rsid w:val="00541D19"/>
    <w:rsid w:val="00552D6F"/>
    <w:rsid w:val="005668CF"/>
    <w:rsid w:val="00594B7A"/>
    <w:rsid w:val="00607A8D"/>
    <w:rsid w:val="00624729"/>
    <w:rsid w:val="00625AE9"/>
    <w:rsid w:val="006330B8"/>
    <w:rsid w:val="00694057"/>
    <w:rsid w:val="006E7089"/>
    <w:rsid w:val="00741200"/>
    <w:rsid w:val="00787125"/>
    <w:rsid w:val="007A1FAB"/>
    <w:rsid w:val="007A2214"/>
    <w:rsid w:val="007E0F6F"/>
    <w:rsid w:val="007F6907"/>
    <w:rsid w:val="00894A9D"/>
    <w:rsid w:val="008A569E"/>
    <w:rsid w:val="00915D80"/>
    <w:rsid w:val="00923AD2"/>
    <w:rsid w:val="0094338B"/>
    <w:rsid w:val="0094511C"/>
    <w:rsid w:val="009465E2"/>
    <w:rsid w:val="00986647"/>
    <w:rsid w:val="009920C8"/>
    <w:rsid w:val="00A0371E"/>
    <w:rsid w:val="00AA141A"/>
    <w:rsid w:val="00AC4F31"/>
    <w:rsid w:val="00B27363"/>
    <w:rsid w:val="00B62100"/>
    <w:rsid w:val="00B70621"/>
    <w:rsid w:val="00BF1FE1"/>
    <w:rsid w:val="00F21120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946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link w:val="berschrift3Zchn"/>
    <w:uiPriority w:val="9"/>
    <w:qFormat/>
    <w:rsid w:val="009465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5E2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65E2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9465E2"/>
    <w:rPr>
      <w:b/>
      <w:bCs/>
    </w:rPr>
  </w:style>
  <w:style w:type="paragraph" w:styleId="StandardWeb">
    <w:name w:val="Normal (Web)"/>
    <w:basedOn w:val="Standard"/>
    <w:uiPriority w:val="99"/>
    <w:unhideWhenUsed/>
    <w:rsid w:val="009465E2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2B4D5A"/>
    <w:rPr>
      <w:color w:val="0000FF"/>
      <w:u w:val="single"/>
    </w:rPr>
  </w:style>
  <w:style w:type="character" w:customStyle="1" w:styleId="title8">
    <w:name w:val="title8"/>
    <w:basedOn w:val="Absatz-Standardschriftart"/>
    <w:rsid w:val="002B4D5A"/>
  </w:style>
  <w:style w:type="paragraph" w:styleId="Sprechblasentext">
    <w:name w:val="Balloon Text"/>
    <w:basedOn w:val="Standard"/>
    <w:link w:val="SprechblasentextZchn"/>
    <w:rsid w:val="002B4D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4D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C31"/>
    <w:pPr>
      <w:ind w:left="720"/>
      <w:contextualSpacing/>
    </w:pPr>
  </w:style>
  <w:style w:type="paragraph" w:styleId="Kopfzeile">
    <w:name w:val="header"/>
    <w:basedOn w:val="Standard"/>
    <w:link w:val="KopfzeileZchn"/>
    <w:rsid w:val="00037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52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37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75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946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link w:val="berschrift3Zchn"/>
    <w:uiPriority w:val="9"/>
    <w:qFormat/>
    <w:rsid w:val="009465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5E2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65E2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9465E2"/>
    <w:rPr>
      <w:b/>
      <w:bCs/>
    </w:rPr>
  </w:style>
  <w:style w:type="paragraph" w:styleId="StandardWeb">
    <w:name w:val="Normal (Web)"/>
    <w:basedOn w:val="Standard"/>
    <w:uiPriority w:val="99"/>
    <w:unhideWhenUsed/>
    <w:rsid w:val="009465E2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2B4D5A"/>
    <w:rPr>
      <w:color w:val="0000FF"/>
      <w:u w:val="single"/>
    </w:rPr>
  </w:style>
  <w:style w:type="character" w:customStyle="1" w:styleId="title8">
    <w:name w:val="title8"/>
    <w:basedOn w:val="Absatz-Standardschriftart"/>
    <w:rsid w:val="002B4D5A"/>
  </w:style>
  <w:style w:type="paragraph" w:styleId="Sprechblasentext">
    <w:name w:val="Balloon Text"/>
    <w:basedOn w:val="Standard"/>
    <w:link w:val="SprechblasentextZchn"/>
    <w:rsid w:val="002B4D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4D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C31"/>
    <w:pPr>
      <w:ind w:left="720"/>
      <w:contextualSpacing/>
    </w:pPr>
  </w:style>
  <w:style w:type="paragraph" w:styleId="Kopfzeile">
    <w:name w:val="header"/>
    <w:basedOn w:val="Standard"/>
    <w:link w:val="KopfzeileZchn"/>
    <w:rsid w:val="00037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52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37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0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7576-CA89-447C-B836-4CB6CE88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4CFE9C90.dotm</Template>
  <TotalTime>0</TotalTime>
  <Pages>4</Pages>
  <Words>411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mh</cp:lastModifiedBy>
  <cp:revision>2</cp:revision>
  <cp:lastPrinted>2016-10-11T15:22:00Z</cp:lastPrinted>
  <dcterms:created xsi:type="dcterms:W3CDTF">2016-10-18T15:49:00Z</dcterms:created>
  <dcterms:modified xsi:type="dcterms:W3CDTF">2016-10-18T15:49:00Z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-2013145916</vt:i4>
  </property>
  <property fmtid="{D5CDD505-2E9C-101B-9397-08002B2CF9AE}" pid="3" name="_NewReviewCycle">
    <vt:lpwstr/>
  </property>
  <property fmtid="{D5CDD505-2E9C-101B-9397-08002B2CF9AE}" pid="4" name="_EmailSubject">
    <vt:lpwstr>Übergabejournal NMG Primarschule</vt:lpwstr>
  </property>
  <property fmtid="{D5CDD505-2E9C-101B-9397-08002B2CF9AE}" pid="5" name="_AuthorEmail">
    <vt:lpwstr>Stefan.Fricker@bs.ch</vt:lpwstr>
  </property>
  <property fmtid="{D5CDD505-2E9C-101B-9397-08002B2CF9AE}" pid="6" name="_AuthorEmailDisplayName">
    <vt:lpwstr>Fricker, Stefan</vt:lpwstr>
  </property>
  <property fmtid="{D5CDD505-2E9C-101B-9397-08002B2CF9AE}" pid="7" name="_ReviewingToolsShownOnce">
    <vt:lpwstr/>
  </property>
</Properties>
</file>